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F892" w14:textId="1C660699" w:rsidR="002F10F6" w:rsidRPr="00FD5605" w:rsidRDefault="00FD5605" w:rsidP="00FD5605">
      <w:pPr>
        <w:jc w:val="center"/>
        <w:rPr>
          <w:rFonts w:ascii="Arial" w:hAnsi="Arial" w:cs="Arial"/>
          <w:b/>
          <w:bCs/>
          <w:sz w:val="36"/>
          <w:szCs w:val="36"/>
        </w:rPr>
      </w:pPr>
      <w:r w:rsidRPr="00FD5605">
        <w:rPr>
          <w:rFonts w:ascii="Arial" w:hAnsi="Arial" w:cs="Arial"/>
          <w:b/>
          <w:bCs/>
          <w:sz w:val="36"/>
          <w:szCs w:val="36"/>
        </w:rPr>
        <w:t>STOCKBRIDGE HOUSING AUTHORITY</w:t>
      </w:r>
    </w:p>
    <w:p w14:paraId="568D3011" w14:textId="09F45EA0" w:rsidR="00FD5605" w:rsidRPr="00A53CED" w:rsidRDefault="00FD5605" w:rsidP="00166F17">
      <w:pPr>
        <w:jc w:val="center"/>
        <w:rPr>
          <w:rFonts w:ascii="Arial" w:hAnsi="Arial" w:cs="Arial"/>
          <w:b/>
          <w:bCs/>
          <w:sz w:val="24"/>
          <w:szCs w:val="24"/>
        </w:rPr>
      </w:pPr>
      <w:r w:rsidRPr="00FD5605">
        <w:rPr>
          <w:rFonts w:ascii="Arial" w:hAnsi="Arial" w:cs="Arial"/>
          <w:b/>
          <w:bCs/>
          <w:sz w:val="32"/>
          <w:szCs w:val="32"/>
        </w:rPr>
        <w:t>EQUAL OPPORTUNITY</w:t>
      </w:r>
      <w:r w:rsidR="00166F17">
        <w:rPr>
          <w:rFonts w:ascii="Arial" w:hAnsi="Arial" w:cs="Arial"/>
          <w:b/>
          <w:bCs/>
          <w:sz w:val="32"/>
          <w:szCs w:val="32"/>
        </w:rPr>
        <w:t>,</w:t>
      </w:r>
      <w:r w:rsidRPr="00FD5605">
        <w:rPr>
          <w:rFonts w:ascii="Arial" w:hAnsi="Arial" w:cs="Arial"/>
          <w:b/>
          <w:bCs/>
          <w:sz w:val="32"/>
          <w:szCs w:val="32"/>
        </w:rPr>
        <w:t xml:space="preserve"> AFFIRMATIVE ACTION </w:t>
      </w:r>
      <w:r w:rsidR="00166F17">
        <w:rPr>
          <w:rFonts w:ascii="Arial" w:hAnsi="Arial" w:cs="Arial"/>
          <w:b/>
          <w:bCs/>
          <w:sz w:val="32"/>
          <w:szCs w:val="32"/>
        </w:rPr>
        <w:t>and FAIR HOUSING PLAN</w:t>
      </w:r>
    </w:p>
    <w:p w14:paraId="0057B3F4" w14:textId="483AA1BF" w:rsidR="00FD5605" w:rsidRPr="00A53CED" w:rsidRDefault="00FD5605" w:rsidP="00FD5605">
      <w:pPr>
        <w:pStyle w:val="ListParagraph"/>
        <w:numPr>
          <w:ilvl w:val="0"/>
          <w:numId w:val="3"/>
        </w:numPr>
        <w:rPr>
          <w:rFonts w:ascii="Arial" w:hAnsi="Arial" w:cs="Arial"/>
          <w:b/>
          <w:bCs/>
          <w:sz w:val="24"/>
          <w:szCs w:val="24"/>
          <w:u w:val="single"/>
        </w:rPr>
      </w:pPr>
      <w:r w:rsidRPr="00A53CED">
        <w:rPr>
          <w:rFonts w:ascii="Arial" w:hAnsi="Arial" w:cs="Arial"/>
          <w:b/>
          <w:bCs/>
          <w:sz w:val="24"/>
          <w:szCs w:val="24"/>
          <w:u w:val="single"/>
        </w:rPr>
        <w:t>Purpose</w:t>
      </w:r>
    </w:p>
    <w:p w14:paraId="0A16A894" w14:textId="57FE074C" w:rsidR="00FD5605" w:rsidRPr="00A53CED" w:rsidRDefault="00FD5605" w:rsidP="00FD5605">
      <w:pPr>
        <w:ind w:left="360"/>
        <w:rPr>
          <w:rFonts w:ascii="Arial" w:hAnsi="Arial" w:cs="Arial"/>
          <w:sz w:val="24"/>
          <w:szCs w:val="24"/>
        </w:rPr>
      </w:pPr>
      <w:r w:rsidRPr="00A53CED">
        <w:rPr>
          <w:rFonts w:ascii="Arial" w:hAnsi="Arial" w:cs="Arial"/>
          <w:sz w:val="24"/>
          <w:szCs w:val="24"/>
        </w:rPr>
        <w:t>The purpose of this plan is to promote equality of opportunity and to prevent discrimination based on race, creed, color, gender,</w:t>
      </w:r>
      <w:r w:rsidR="00C84BDE">
        <w:rPr>
          <w:rFonts w:ascii="Arial" w:hAnsi="Arial" w:cs="Arial"/>
          <w:sz w:val="24"/>
          <w:szCs w:val="24"/>
        </w:rPr>
        <w:t xml:space="preserve"> </w:t>
      </w:r>
      <w:r w:rsidR="00C84BDE" w:rsidRPr="00CF625E">
        <w:rPr>
          <w:rFonts w:ascii="Arial" w:hAnsi="Arial" w:cs="Arial"/>
          <w:sz w:val="24"/>
          <w:szCs w:val="24"/>
        </w:rPr>
        <w:t>gender identification</w:t>
      </w:r>
      <w:r w:rsidR="00C84BDE">
        <w:rPr>
          <w:rFonts w:ascii="Arial" w:hAnsi="Arial" w:cs="Arial"/>
          <w:sz w:val="24"/>
          <w:szCs w:val="24"/>
        </w:rPr>
        <w:t>,</w:t>
      </w:r>
      <w:r w:rsidRPr="00A53CED">
        <w:rPr>
          <w:rFonts w:ascii="Arial" w:hAnsi="Arial" w:cs="Arial"/>
          <w:sz w:val="24"/>
          <w:szCs w:val="24"/>
        </w:rPr>
        <w:t xml:space="preserve"> sexual orientation, handicap, or national origin in all aspects of the Stockbridge Housing Authority programs, activities, and employment practices. The plan contains both Policies and Procedures. </w:t>
      </w:r>
    </w:p>
    <w:p w14:paraId="53457017" w14:textId="29EA0C61" w:rsidR="00FD5605" w:rsidRPr="00A53CED" w:rsidRDefault="00FD5605" w:rsidP="00FD5605">
      <w:pPr>
        <w:ind w:left="360"/>
        <w:rPr>
          <w:rFonts w:ascii="Arial" w:hAnsi="Arial" w:cs="Arial"/>
          <w:sz w:val="24"/>
          <w:szCs w:val="24"/>
        </w:rPr>
      </w:pPr>
    </w:p>
    <w:p w14:paraId="12E9BFE8" w14:textId="45B8A4CA" w:rsidR="00FD5605" w:rsidRPr="00A53CED" w:rsidRDefault="00FD5605" w:rsidP="00FD5605">
      <w:pPr>
        <w:pStyle w:val="ListParagraph"/>
        <w:numPr>
          <w:ilvl w:val="0"/>
          <w:numId w:val="3"/>
        </w:numPr>
        <w:rPr>
          <w:rFonts w:ascii="Arial" w:hAnsi="Arial" w:cs="Arial"/>
          <w:b/>
          <w:bCs/>
          <w:sz w:val="24"/>
          <w:szCs w:val="24"/>
          <w:u w:val="single"/>
        </w:rPr>
      </w:pPr>
      <w:r w:rsidRPr="00A53CED">
        <w:rPr>
          <w:rFonts w:ascii="Arial" w:hAnsi="Arial" w:cs="Arial"/>
          <w:b/>
          <w:bCs/>
          <w:sz w:val="24"/>
          <w:szCs w:val="24"/>
          <w:u w:val="single"/>
        </w:rPr>
        <w:t>Equal Opportunity/Affirmative Action Policy</w:t>
      </w:r>
    </w:p>
    <w:p w14:paraId="5796AD87" w14:textId="4B3E8AA3" w:rsidR="00FD5605" w:rsidRPr="00A53CED" w:rsidRDefault="00FD5605" w:rsidP="000910E7">
      <w:pPr>
        <w:ind w:left="360" w:firstLine="45"/>
        <w:rPr>
          <w:rFonts w:ascii="Arial" w:hAnsi="Arial" w:cs="Arial"/>
          <w:sz w:val="24"/>
          <w:szCs w:val="24"/>
        </w:rPr>
      </w:pPr>
      <w:r w:rsidRPr="00A53CED">
        <w:rPr>
          <w:rFonts w:ascii="Arial" w:hAnsi="Arial" w:cs="Arial"/>
          <w:sz w:val="24"/>
          <w:szCs w:val="24"/>
        </w:rPr>
        <w:t xml:space="preserve">The Stockbridge Housing Authority (hereafter referred to as the Authority) promotes equal opportunity for all and does not discriminate against any employee, tenant, or applicant for employment or tenancy because of race, creed, color, gender, </w:t>
      </w:r>
      <w:r w:rsidR="00C84BDE" w:rsidRPr="00CF625E">
        <w:rPr>
          <w:rFonts w:ascii="Arial" w:hAnsi="Arial" w:cs="Arial"/>
          <w:sz w:val="24"/>
          <w:szCs w:val="24"/>
        </w:rPr>
        <w:t>gender identification,</w:t>
      </w:r>
      <w:r w:rsidR="00C84BDE">
        <w:rPr>
          <w:rFonts w:ascii="Arial" w:hAnsi="Arial" w:cs="Arial"/>
          <w:sz w:val="24"/>
          <w:szCs w:val="24"/>
        </w:rPr>
        <w:t xml:space="preserve"> </w:t>
      </w:r>
      <w:r w:rsidRPr="00A53CED">
        <w:rPr>
          <w:rFonts w:ascii="Arial" w:hAnsi="Arial" w:cs="Arial"/>
          <w:sz w:val="24"/>
          <w:szCs w:val="24"/>
        </w:rPr>
        <w:t xml:space="preserve">sexual orientation, handicap, or national origin. Procedures to ensure compliance with this Policy address the following: employment, compensation, and benefits; tenant selection, unit assignment and occupancy standards. </w:t>
      </w:r>
    </w:p>
    <w:p w14:paraId="5EA44DF3" w14:textId="0E7CCDEE" w:rsidR="00FD5605" w:rsidRPr="00A53CED" w:rsidRDefault="00FD5605" w:rsidP="000910E7">
      <w:pPr>
        <w:ind w:left="360" w:firstLine="45"/>
        <w:rPr>
          <w:rFonts w:ascii="Arial" w:hAnsi="Arial" w:cs="Arial"/>
          <w:sz w:val="24"/>
          <w:szCs w:val="24"/>
        </w:rPr>
      </w:pPr>
      <w:r w:rsidRPr="00A53CED">
        <w:rPr>
          <w:rFonts w:ascii="Arial" w:hAnsi="Arial" w:cs="Arial"/>
          <w:sz w:val="24"/>
          <w:szCs w:val="24"/>
        </w:rPr>
        <w:t xml:space="preserve">The Authority names the Executive Director as its Equal Opportunity Officer, with responsibility for implementing this Policy and Procedures.    </w:t>
      </w:r>
    </w:p>
    <w:p w14:paraId="2CAA102A" w14:textId="77777777" w:rsidR="00FD5605" w:rsidRPr="00A53CED" w:rsidRDefault="00FD5605" w:rsidP="00FD5605">
      <w:pPr>
        <w:rPr>
          <w:rFonts w:ascii="Arial" w:hAnsi="Arial" w:cs="Arial"/>
          <w:sz w:val="24"/>
          <w:szCs w:val="24"/>
        </w:rPr>
      </w:pPr>
    </w:p>
    <w:p w14:paraId="3D756233" w14:textId="79833374" w:rsidR="00FD5605" w:rsidRPr="00A53CED" w:rsidRDefault="00FD5605" w:rsidP="00FD5605">
      <w:pPr>
        <w:pStyle w:val="ListParagraph"/>
        <w:numPr>
          <w:ilvl w:val="0"/>
          <w:numId w:val="3"/>
        </w:numPr>
        <w:rPr>
          <w:rFonts w:ascii="Arial" w:hAnsi="Arial" w:cs="Arial"/>
          <w:b/>
          <w:bCs/>
          <w:sz w:val="24"/>
          <w:szCs w:val="24"/>
          <w:u w:val="single"/>
        </w:rPr>
      </w:pPr>
      <w:r w:rsidRPr="00A53CED">
        <w:rPr>
          <w:rFonts w:ascii="Arial" w:hAnsi="Arial" w:cs="Arial"/>
          <w:b/>
          <w:bCs/>
          <w:sz w:val="24"/>
          <w:szCs w:val="24"/>
          <w:u w:val="single"/>
        </w:rPr>
        <w:t>Implementation Procedures</w:t>
      </w:r>
    </w:p>
    <w:p w14:paraId="70885783" w14:textId="22A0B085" w:rsidR="00FD5605" w:rsidRPr="00A53CED" w:rsidRDefault="00FD5605" w:rsidP="00FD5605">
      <w:pPr>
        <w:pStyle w:val="ListParagraph"/>
        <w:numPr>
          <w:ilvl w:val="0"/>
          <w:numId w:val="4"/>
        </w:numPr>
        <w:rPr>
          <w:rFonts w:ascii="Arial" w:hAnsi="Arial" w:cs="Arial"/>
          <w:sz w:val="24"/>
          <w:szCs w:val="24"/>
        </w:rPr>
      </w:pPr>
      <w:r w:rsidRPr="00A53CED">
        <w:rPr>
          <w:rFonts w:ascii="Arial" w:hAnsi="Arial" w:cs="Arial"/>
          <w:sz w:val="24"/>
          <w:szCs w:val="24"/>
          <w:u w:val="single"/>
        </w:rPr>
        <w:t xml:space="preserve">Employment </w:t>
      </w:r>
      <w:r w:rsidRPr="00A53CED">
        <w:rPr>
          <w:rFonts w:ascii="Arial" w:hAnsi="Arial" w:cs="Arial"/>
          <w:sz w:val="24"/>
          <w:szCs w:val="24"/>
        </w:rPr>
        <w:t xml:space="preserve">(Also, see Personnel Policies) </w:t>
      </w:r>
    </w:p>
    <w:p w14:paraId="07825CF3" w14:textId="77777777" w:rsidR="000C1C4D" w:rsidRPr="00A53CED" w:rsidRDefault="00FD5605" w:rsidP="00FD5605">
      <w:pPr>
        <w:pStyle w:val="ListParagraph"/>
        <w:numPr>
          <w:ilvl w:val="0"/>
          <w:numId w:val="5"/>
        </w:numPr>
        <w:rPr>
          <w:rFonts w:ascii="Arial" w:hAnsi="Arial" w:cs="Arial"/>
          <w:sz w:val="24"/>
          <w:szCs w:val="24"/>
        </w:rPr>
      </w:pPr>
      <w:r w:rsidRPr="00A53CED">
        <w:rPr>
          <w:rFonts w:ascii="Arial" w:hAnsi="Arial" w:cs="Arial"/>
          <w:sz w:val="24"/>
          <w:szCs w:val="24"/>
        </w:rPr>
        <w:t>The phrase “Equal Opportunity/Affirmative Action Employer” is used in recruiting, employment publications, and all other adverti</w:t>
      </w:r>
      <w:r w:rsidR="000C1C4D" w:rsidRPr="00A53CED">
        <w:rPr>
          <w:rFonts w:ascii="Arial" w:hAnsi="Arial" w:cs="Arial"/>
          <w:sz w:val="24"/>
          <w:szCs w:val="24"/>
        </w:rPr>
        <w:t xml:space="preserve">sements. </w:t>
      </w:r>
    </w:p>
    <w:p w14:paraId="1C108E39" w14:textId="352B207B" w:rsidR="000C1C4D" w:rsidRPr="00A53CED" w:rsidRDefault="000C1C4D" w:rsidP="00FD5605">
      <w:pPr>
        <w:pStyle w:val="ListParagraph"/>
        <w:numPr>
          <w:ilvl w:val="0"/>
          <w:numId w:val="5"/>
        </w:numPr>
        <w:rPr>
          <w:rFonts w:ascii="Arial" w:hAnsi="Arial" w:cs="Arial"/>
          <w:sz w:val="24"/>
          <w:szCs w:val="24"/>
        </w:rPr>
      </w:pPr>
      <w:r w:rsidRPr="00A53CED">
        <w:rPr>
          <w:rFonts w:ascii="Arial" w:hAnsi="Arial" w:cs="Arial"/>
          <w:sz w:val="24"/>
          <w:szCs w:val="24"/>
        </w:rPr>
        <w:t xml:space="preserve">All recruitment sources are advised in writing of the Authority’s commitment to equal opportunity. </w:t>
      </w:r>
    </w:p>
    <w:p w14:paraId="471BE219" w14:textId="4BEBF315" w:rsidR="00040FED" w:rsidRPr="004B0225" w:rsidRDefault="00A53CED" w:rsidP="00FD5605">
      <w:pPr>
        <w:pStyle w:val="ListParagraph"/>
        <w:numPr>
          <w:ilvl w:val="0"/>
          <w:numId w:val="5"/>
        </w:numPr>
        <w:rPr>
          <w:rFonts w:ascii="Arial" w:hAnsi="Arial" w:cs="Arial"/>
          <w:sz w:val="24"/>
          <w:szCs w:val="24"/>
        </w:rPr>
      </w:pPr>
      <w:r w:rsidRPr="004B0225">
        <w:rPr>
          <w:rFonts w:ascii="Arial" w:hAnsi="Arial" w:cs="Arial"/>
          <w:sz w:val="24"/>
          <w:szCs w:val="24"/>
        </w:rPr>
        <w:t>The advertisement will be posted at least once in n</w:t>
      </w:r>
      <w:r w:rsidR="000C1C4D" w:rsidRPr="004B0225">
        <w:rPr>
          <w:rFonts w:ascii="Arial" w:hAnsi="Arial" w:cs="Arial"/>
          <w:sz w:val="24"/>
          <w:szCs w:val="24"/>
        </w:rPr>
        <w:t xml:space="preserve">ewspapers, such as the Berkshire Eagle, </w:t>
      </w:r>
      <w:r w:rsidR="000910E7" w:rsidRPr="004B0225">
        <w:rPr>
          <w:rFonts w:ascii="Arial" w:hAnsi="Arial" w:cs="Arial"/>
          <w:sz w:val="24"/>
          <w:szCs w:val="24"/>
        </w:rPr>
        <w:t>or other papers that serve</w:t>
      </w:r>
      <w:r w:rsidR="000C1C4D" w:rsidRPr="004B0225">
        <w:rPr>
          <w:rFonts w:ascii="Arial" w:hAnsi="Arial" w:cs="Arial"/>
          <w:sz w:val="24"/>
          <w:szCs w:val="24"/>
        </w:rPr>
        <w:t xml:space="preserve"> the county’s metropolitan area</w:t>
      </w:r>
      <w:r w:rsidRPr="004B0225">
        <w:rPr>
          <w:rFonts w:ascii="Arial" w:hAnsi="Arial" w:cs="Arial"/>
          <w:sz w:val="24"/>
          <w:szCs w:val="24"/>
        </w:rPr>
        <w:t xml:space="preserve">. </w:t>
      </w:r>
    </w:p>
    <w:p w14:paraId="248655C4" w14:textId="77777777" w:rsidR="00040FED" w:rsidRPr="00A53CED" w:rsidRDefault="00040FED" w:rsidP="00FD5605">
      <w:pPr>
        <w:pStyle w:val="ListParagraph"/>
        <w:numPr>
          <w:ilvl w:val="0"/>
          <w:numId w:val="5"/>
        </w:numPr>
        <w:rPr>
          <w:rFonts w:ascii="Arial" w:hAnsi="Arial" w:cs="Arial"/>
          <w:sz w:val="24"/>
          <w:szCs w:val="24"/>
        </w:rPr>
      </w:pPr>
      <w:r w:rsidRPr="00A53CED">
        <w:rPr>
          <w:rFonts w:ascii="Arial" w:hAnsi="Arial" w:cs="Arial"/>
          <w:sz w:val="24"/>
          <w:szCs w:val="24"/>
        </w:rPr>
        <w:t xml:space="preserve">When the Authority participates in work/study programs or internship programs, the equal opportunity employment goals are clearly stated. </w:t>
      </w:r>
    </w:p>
    <w:p w14:paraId="09A0A248" w14:textId="1D1657F8" w:rsidR="00FD5605" w:rsidRPr="00A53CED" w:rsidRDefault="00040FED" w:rsidP="00FD5605">
      <w:pPr>
        <w:pStyle w:val="ListParagraph"/>
        <w:numPr>
          <w:ilvl w:val="0"/>
          <w:numId w:val="5"/>
        </w:numPr>
        <w:rPr>
          <w:rFonts w:ascii="Arial" w:hAnsi="Arial" w:cs="Arial"/>
          <w:sz w:val="24"/>
          <w:szCs w:val="24"/>
        </w:rPr>
      </w:pPr>
      <w:r w:rsidRPr="00A53CED">
        <w:rPr>
          <w:rFonts w:ascii="Arial" w:hAnsi="Arial" w:cs="Arial"/>
          <w:sz w:val="24"/>
          <w:szCs w:val="24"/>
        </w:rPr>
        <w:t xml:space="preserve">All employment applicants are treated equally in the application process and are given assistance as necessary, including assistance necessitated by language barriers. </w:t>
      </w:r>
      <w:r w:rsidR="00FD5605" w:rsidRPr="00A53CED">
        <w:rPr>
          <w:rFonts w:ascii="Arial" w:hAnsi="Arial" w:cs="Arial"/>
          <w:sz w:val="24"/>
          <w:szCs w:val="24"/>
        </w:rPr>
        <w:t xml:space="preserve"> </w:t>
      </w:r>
    </w:p>
    <w:p w14:paraId="7D397E69" w14:textId="2B2B309E" w:rsidR="00040FED" w:rsidRPr="00A53CED" w:rsidRDefault="00040FED" w:rsidP="00FD5605">
      <w:pPr>
        <w:pStyle w:val="ListParagraph"/>
        <w:numPr>
          <w:ilvl w:val="0"/>
          <w:numId w:val="5"/>
        </w:numPr>
        <w:rPr>
          <w:rFonts w:ascii="Arial" w:hAnsi="Arial" w:cs="Arial"/>
          <w:sz w:val="24"/>
          <w:szCs w:val="24"/>
        </w:rPr>
      </w:pPr>
      <w:r w:rsidRPr="00A53CED">
        <w:rPr>
          <w:rFonts w:ascii="Arial" w:hAnsi="Arial" w:cs="Arial"/>
          <w:sz w:val="24"/>
          <w:szCs w:val="24"/>
        </w:rPr>
        <w:t xml:space="preserve">Specific goals for minority representation in each employment category are </w:t>
      </w:r>
      <w:r w:rsidR="00CF625E" w:rsidRPr="004B0225">
        <w:rPr>
          <w:rFonts w:ascii="Arial" w:hAnsi="Arial" w:cs="Arial"/>
          <w:b/>
          <w:bCs/>
          <w:sz w:val="24"/>
          <w:szCs w:val="24"/>
          <w:u w:val="single"/>
        </w:rPr>
        <w:t>challenging</w:t>
      </w:r>
      <w:r w:rsidRPr="00A53CED">
        <w:rPr>
          <w:rFonts w:ascii="Arial" w:hAnsi="Arial" w:cs="Arial"/>
          <w:sz w:val="24"/>
          <w:szCs w:val="24"/>
        </w:rPr>
        <w:t xml:space="preserve"> to establish due to the small number of employees in each category, (</w:t>
      </w:r>
      <w:r w:rsidRPr="004B0225">
        <w:rPr>
          <w:rFonts w:ascii="Arial" w:hAnsi="Arial" w:cs="Arial"/>
          <w:b/>
          <w:bCs/>
          <w:sz w:val="24"/>
          <w:szCs w:val="24"/>
          <w:u w:val="single"/>
        </w:rPr>
        <w:t>2</w:t>
      </w:r>
      <w:r w:rsidR="00CF625E" w:rsidRPr="004B0225">
        <w:rPr>
          <w:rFonts w:ascii="Arial" w:hAnsi="Arial" w:cs="Arial"/>
          <w:b/>
          <w:bCs/>
          <w:sz w:val="24"/>
          <w:szCs w:val="24"/>
          <w:u w:val="single"/>
        </w:rPr>
        <w:t>-3</w:t>
      </w:r>
      <w:r w:rsidRPr="00A53CED">
        <w:rPr>
          <w:rFonts w:ascii="Arial" w:hAnsi="Arial" w:cs="Arial"/>
          <w:sz w:val="24"/>
          <w:szCs w:val="24"/>
        </w:rPr>
        <w:t xml:space="preserve"> maintenance; 1 clerical; 1 professional and </w:t>
      </w:r>
      <w:r w:rsidR="00CF625E" w:rsidRPr="004B0225">
        <w:rPr>
          <w:rFonts w:ascii="Arial" w:hAnsi="Arial" w:cs="Arial"/>
          <w:b/>
          <w:bCs/>
          <w:sz w:val="24"/>
          <w:szCs w:val="24"/>
          <w:u w:val="single"/>
        </w:rPr>
        <w:t>1-3</w:t>
      </w:r>
      <w:r w:rsidR="00CF625E">
        <w:rPr>
          <w:rFonts w:ascii="Arial" w:hAnsi="Arial" w:cs="Arial"/>
          <w:sz w:val="24"/>
          <w:szCs w:val="24"/>
        </w:rPr>
        <w:t xml:space="preserve"> </w:t>
      </w:r>
      <w:r w:rsidRPr="00A53CED">
        <w:rPr>
          <w:rFonts w:ascii="Arial" w:hAnsi="Arial" w:cs="Arial"/>
          <w:sz w:val="24"/>
          <w:szCs w:val="24"/>
        </w:rPr>
        <w:t xml:space="preserve"> </w:t>
      </w:r>
      <w:r w:rsidR="00CF625E">
        <w:rPr>
          <w:rFonts w:ascii="Arial" w:hAnsi="Arial" w:cs="Arial"/>
          <w:sz w:val="24"/>
          <w:szCs w:val="24"/>
        </w:rPr>
        <w:t xml:space="preserve"> </w:t>
      </w:r>
      <w:r w:rsidR="004B0225">
        <w:rPr>
          <w:rFonts w:ascii="Arial" w:hAnsi="Arial" w:cs="Arial"/>
          <w:sz w:val="24"/>
          <w:szCs w:val="24"/>
        </w:rPr>
        <w:t xml:space="preserve"> </w:t>
      </w:r>
      <w:r w:rsidR="00CF625E">
        <w:rPr>
          <w:rFonts w:ascii="Arial" w:hAnsi="Arial" w:cs="Arial"/>
          <w:sz w:val="24"/>
          <w:szCs w:val="24"/>
        </w:rPr>
        <w:t>re</w:t>
      </w:r>
      <w:r w:rsidRPr="00A53CED">
        <w:rPr>
          <w:rFonts w:ascii="Arial" w:hAnsi="Arial" w:cs="Arial"/>
          <w:sz w:val="24"/>
          <w:szCs w:val="24"/>
        </w:rPr>
        <w:t xml:space="preserve">sident services coordinators) and the area’s low concentration of minorities </w:t>
      </w:r>
      <w:r w:rsidRPr="00244DCC">
        <w:rPr>
          <w:rFonts w:ascii="Arial" w:hAnsi="Arial" w:cs="Arial"/>
          <w:b/>
          <w:bCs/>
          <w:sz w:val="24"/>
          <w:szCs w:val="24"/>
          <w:u w:val="single"/>
        </w:rPr>
        <w:t>(</w:t>
      </w:r>
      <w:r w:rsidR="00CF625E">
        <w:rPr>
          <w:rFonts w:ascii="Arial" w:hAnsi="Arial" w:cs="Arial"/>
          <w:b/>
          <w:bCs/>
          <w:sz w:val="24"/>
          <w:szCs w:val="24"/>
          <w:u w:val="single"/>
        </w:rPr>
        <w:t>The census data for the Town of Stockbridge</w:t>
      </w:r>
      <w:r w:rsidR="00E82ECD">
        <w:rPr>
          <w:rFonts w:ascii="Arial" w:hAnsi="Arial" w:cs="Arial"/>
          <w:b/>
          <w:bCs/>
          <w:sz w:val="24"/>
          <w:szCs w:val="24"/>
          <w:u w:val="single"/>
        </w:rPr>
        <w:t xml:space="preserve"> residents</w:t>
      </w:r>
      <w:r w:rsidR="00CF625E">
        <w:rPr>
          <w:rFonts w:ascii="Arial" w:hAnsi="Arial" w:cs="Arial"/>
          <w:b/>
          <w:bCs/>
          <w:sz w:val="24"/>
          <w:szCs w:val="24"/>
          <w:u w:val="single"/>
        </w:rPr>
        <w:t xml:space="preserve"> is a total of 9.7%</w:t>
      </w:r>
      <w:r w:rsidRPr="00244DCC">
        <w:rPr>
          <w:rFonts w:ascii="Arial" w:hAnsi="Arial" w:cs="Arial"/>
          <w:b/>
          <w:bCs/>
          <w:sz w:val="24"/>
          <w:szCs w:val="24"/>
          <w:u w:val="single"/>
        </w:rPr>
        <w:t xml:space="preserve"> </w:t>
      </w:r>
      <w:r w:rsidR="00990531">
        <w:rPr>
          <w:rFonts w:ascii="Arial" w:hAnsi="Arial" w:cs="Arial"/>
          <w:b/>
          <w:bCs/>
          <w:sz w:val="24"/>
          <w:szCs w:val="24"/>
          <w:u w:val="single"/>
        </w:rPr>
        <w:lastRenderedPageBreak/>
        <w:t>with minority</w:t>
      </w:r>
      <w:r w:rsidR="004B0225">
        <w:rPr>
          <w:rFonts w:ascii="Arial" w:hAnsi="Arial" w:cs="Arial"/>
          <w:b/>
          <w:bCs/>
          <w:sz w:val="24"/>
          <w:szCs w:val="24"/>
          <w:u w:val="single"/>
        </w:rPr>
        <w:t xml:space="preserve"> race/</w:t>
      </w:r>
      <w:r w:rsidR="00CF625E" w:rsidRPr="004B0225">
        <w:rPr>
          <w:rFonts w:ascii="Arial" w:hAnsi="Arial" w:cs="Arial"/>
          <w:b/>
          <w:bCs/>
          <w:sz w:val="24"/>
          <w:szCs w:val="24"/>
          <w:u w:val="single"/>
        </w:rPr>
        <w:t>ethnicity</w:t>
      </w:r>
      <w:r w:rsidR="00990531">
        <w:rPr>
          <w:rFonts w:ascii="Arial" w:hAnsi="Arial" w:cs="Arial"/>
          <w:b/>
          <w:bCs/>
          <w:sz w:val="24"/>
          <w:szCs w:val="24"/>
          <w:u w:val="single"/>
        </w:rPr>
        <w:t xml:space="preserve"> designation. This information</w:t>
      </w:r>
      <w:r w:rsidR="00E82ECD">
        <w:rPr>
          <w:rFonts w:ascii="Arial" w:hAnsi="Arial" w:cs="Arial"/>
          <w:b/>
          <w:bCs/>
          <w:sz w:val="24"/>
          <w:szCs w:val="24"/>
          <w:u w:val="single"/>
        </w:rPr>
        <w:t xml:space="preserve"> has been collected</w:t>
      </w:r>
      <w:r w:rsidRPr="00CF625E">
        <w:rPr>
          <w:rFonts w:ascii="Arial" w:hAnsi="Arial" w:cs="Arial"/>
          <w:sz w:val="24"/>
          <w:szCs w:val="24"/>
        </w:rPr>
        <w:t xml:space="preserve"> from the 2014-2019 American Community Survey US Census Bureau</w:t>
      </w:r>
      <w:r w:rsidRPr="00CF625E">
        <w:rPr>
          <w:rFonts w:ascii="Arial" w:hAnsi="Arial" w:cs="Arial"/>
          <w:sz w:val="24"/>
          <w:szCs w:val="24"/>
          <w:u w:val="single"/>
        </w:rPr>
        <w:t xml:space="preserve">; </w:t>
      </w:r>
      <w:r w:rsidR="00CF625E" w:rsidRPr="00CF625E">
        <w:rPr>
          <w:rFonts w:ascii="Arial" w:hAnsi="Arial" w:cs="Arial"/>
          <w:b/>
          <w:bCs/>
          <w:sz w:val="24"/>
          <w:szCs w:val="24"/>
          <w:u w:val="single"/>
        </w:rPr>
        <w:t xml:space="preserve">24% of this </w:t>
      </w:r>
      <w:r w:rsidR="00990531">
        <w:rPr>
          <w:rFonts w:ascii="Arial" w:hAnsi="Arial" w:cs="Arial"/>
          <w:b/>
          <w:bCs/>
          <w:sz w:val="24"/>
          <w:szCs w:val="24"/>
          <w:u w:val="single"/>
        </w:rPr>
        <w:t xml:space="preserve">minority </w:t>
      </w:r>
      <w:r w:rsidR="00CF625E" w:rsidRPr="00CF625E">
        <w:rPr>
          <w:rFonts w:ascii="Arial" w:hAnsi="Arial" w:cs="Arial"/>
          <w:b/>
          <w:bCs/>
          <w:sz w:val="24"/>
          <w:szCs w:val="24"/>
          <w:u w:val="single"/>
        </w:rPr>
        <w:t xml:space="preserve">population is under age 55 and 1.9%is  age 55 or older.  </w:t>
      </w:r>
      <w:r w:rsidR="00CF625E">
        <w:rPr>
          <w:rFonts w:ascii="Arial" w:hAnsi="Arial" w:cs="Arial"/>
          <w:b/>
          <w:bCs/>
          <w:sz w:val="24"/>
          <w:szCs w:val="24"/>
          <w:u w:val="single"/>
        </w:rPr>
        <w:t xml:space="preserve"> In the Pittsfield Metro Area 9.4% of the total population are minority</w:t>
      </w:r>
      <w:r w:rsidR="004B0225">
        <w:rPr>
          <w:rFonts w:ascii="Arial" w:hAnsi="Arial" w:cs="Arial"/>
          <w:b/>
          <w:bCs/>
          <w:sz w:val="24"/>
          <w:szCs w:val="24"/>
          <w:u w:val="single"/>
        </w:rPr>
        <w:t xml:space="preserve"> race/ethnicity. 13.3% under age 55 and 4% age 55 or older with a minority race/ethnicity.   </w:t>
      </w:r>
      <w:r w:rsidR="00CF625E" w:rsidRPr="00CF625E">
        <w:rPr>
          <w:rFonts w:ascii="Arial" w:hAnsi="Arial" w:cs="Arial"/>
          <w:b/>
          <w:bCs/>
          <w:sz w:val="24"/>
          <w:szCs w:val="24"/>
          <w:u w:val="single"/>
        </w:rPr>
        <w:t>Additionally, information was gathered on the following</w:t>
      </w:r>
      <w:r w:rsidR="004B0225">
        <w:rPr>
          <w:rFonts w:ascii="Arial" w:hAnsi="Arial" w:cs="Arial"/>
          <w:b/>
          <w:bCs/>
          <w:sz w:val="24"/>
          <w:szCs w:val="24"/>
          <w:u w:val="single"/>
        </w:rPr>
        <w:t xml:space="preserve"> categories</w:t>
      </w:r>
      <w:r w:rsidR="00CF625E">
        <w:rPr>
          <w:rFonts w:ascii="Arial" w:hAnsi="Arial" w:cs="Arial"/>
          <w:b/>
          <w:bCs/>
          <w:sz w:val="24"/>
          <w:szCs w:val="24"/>
        </w:rPr>
        <w:t xml:space="preserve">; </w:t>
      </w:r>
      <w:r w:rsidR="00990531">
        <w:rPr>
          <w:rFonts w:ascii="Arial" w:hAnsi="Arial" w:cs="Arial"/>
          <w:sz w:val="24"/>
          <w:szCs w:val="24"/>
        </w:rPr>
        <w:t xml:space="preserve">Information was gathered from the 2018-2022 US Census Bureau Data for Berkshire County in its entirety that reflects 51.2% of the population is female; 5% of the total population are Veterans and 10.7% are disabled individuals. </w:t>
      </w:r>
      <w:r w:rsidRPr="00A53CED">
        <w:rPr>
          <w:rFonts w:ascii="Arial" w:hAnsi="Arial" w:cs="Arial"/>
          <w:sz w:val="24"/>
          <w:szCs w:val="24"/>
        </w:rPr>
        <w:t xml:space="preserve"> </w:t>
      </w:r>
    </w:p>
    <w:p w14:paraId="3DC76A6F" w14:textId="0F826D78" w:rsidR="00040FED" w:rsidRPr="00A53CED" w:rsidRDefault="00495264" w:rsidP="00FD5605">
      <w:pPr>
        <w:pStyle w:val="ListParagraph"/>
        <w:numPr>
          <w:ilvl w:val="0"/>
          <w:numId w:val="5"/>
        </w:numPr>
        <w:rPr>
          <w:rFonts w:ascii="Arial" w:hAnsi="Arial" w:cs="Arial"/>
          <w:sz w:val="24"/>
          <w:szCs w:val="24"/>
        </w:rPr>
      </w:pPr>
      <w:r w:rsidRPr="00495264">
        <w:rPr>
          <w:rFonts w:ascii="Arial" w:hAnsi="Arial" w:cs="Arial"/>
          <w:b/>
          <w:bCs/>
          <w:sz w:val="24"/>
          <w:szCs w:val="24"/>
          <w:u w:val="single"/>
        </w:rPr>
        <w:t>For every job opening not filled through internal promotion the Authority shall interview a minimum of three qualified candidates, if available, and that an effort shall be made to interview at least one candidate from an underrepresented group.  E</w:t>
      </w:r>
      <w:r w:rsidR="00040FED" w:rsidRPr="00495264">
        <w:rPr>
          <w:rFonts w:ascii="Arial" w:hAnsi="Arial" w:cs="Arial"/>
          <w:b/>
          <w:bCs/>
          <w:sz w:val="24"/>
          <w:szCs w:val="24"/>
          <w:u w:val="single"/>
        </w:rPr>
        <w:t xml:space="preserve">very effort </w:t>
      </w:r>
      <w:r w:rsidRPr="00495264">
        <w:rPr>
          <w:rFonts w:ascii="Arial" w:hAnsi="Arial" w:cs="Arial"/>
          <w:b/>
          <w:bCs/>
          <w:sz w:val="24"/>
          <w:szCs w:val="24"/>
          <w:u w:val="single"/>
        </w:rPr>
        <w:t>will be</w:t>
      </w:r>
      <w:r w:rsidR="00040FED" w:rsidRPr="00495264">
        <w:rPr>
          <w:rFonts w:ascii="Arial" w:hAnsi="Arial" w:cs="Arial"/>
          <w:b/>
          <w:bCs/>
          <w:sz w:val="24"/>
          <w:szCs w:val="24"/>
          <w:u w:val="single"/>
        </w:rPr>
        <w:t xml:space="preserve"> made</w:t>
      </w:r>
      <w:r w:rsidR="00040FED" w:rsidRPr="00A53CED">
        <w:rPr>
          <w:rFonts w:ascii="Arial" w:hAnsi="Arial" w:cs="Arial"/>
          <w:sz w:val="24"/>
          <w:szCs w:val="24"/>
        </w:rPr>
        <w:t xml:space="preserve"> to hire a qualified candidate from one of these categories for the next available opening. </w:t>
      </w:r>
    </w:p>
    <w:p w14:paraId="617B86DA" w14:textId="4950A31A" w:rsidR="00040FED" w:rsidRDefault="00040FED" w:rsidP="00FD5605">
      <w:pPr>
        <w:pStyle w:val="ListParagraph"/>
        <w:numPr>
          <w:ilvl w:val="0"/>
          <w:numId w:val="5"/>
        </w:numPr>
        <w:rPr>
          <w:rFonts w:ascii="Arial" w:hAnsi="Arial" w:cs="Arial"/>
          <w:sz w:val="24"/>
          <w:szCs w:val="24"/>
        </w:rPr>
      </w:pPr>
      <w:r w:rsidRPr="00A53CED">
        <w:rPr>
          <w:rFonts w:ascii="Arial" w:hAnsi="Arial" w:cs="Arial"/>
          <w:sz w:val="24"/>
          <w:szCs w:val="24"/>
        </w:rPr>
        <w:t xml:space="preserve">All employees are treated equally, in compliance with the requirements of the specific position and the Personnel Policies. </w:t>
      </w:r>
      <w:r w:rsidR="001B74D5" w:rsidRPr="001B74D5">
        <w:rPr>
          <w:rFonts w:ascii="Arial" w:hAnsi="Arial" w:cs="Arial"/>
          <w:b/>
          <w:bCs/>
          <w:sz w:val="24"/>
          <w:szCs w:val="24"/>
        </w:rPr>
        <w:t>See Section VI.K of the Personnel policy on grievance procedures for employees of the SHA.</w:t>
      </w:r>
      <w:r w:rsidR="001B74D5">
        <w:rPr>
          <w:rFonts w:ascii="Arial" w:hAnsi="Arial" w:cs="Arial"/>
          <w:sz w:val="24"/>
          <w:szCs w:val="24"/>
        </w:rPr>
        <w:t xml:space="preserve">  </w:t>
      </w:r>
    </w:p>
    <w:p w14:paraId="15C321F2" w14:textId="77777777" w:rsidR="004B0225" w:rsidRPr="004B0225" w:rsidRDefault="004B0225" w:rsidP="004B0225">
      <w:pPr>
        <w:rPr>
          <w:rFonts w:ascii="Arial" w:hAnsi="Arial" w:cs="Arial"/>
          <w:sz w:val="24"/>
          <w:szCs w:val="24"/>
        </w:rPr>
      </w:pPr>
    </w:p>
    <w:p w14:paraId="2CC15345" w14:textId="4863B4C8" w:rsidR="004B0225" w:rsidRDefault="004B0225" w:rsidP="004B0225">
      <w:pPr>
        <w:pStyle w:val="ListParagraph"/>
        <w:numPr>
          <w:ilvl w:val="0"/>
          <w:numId w:val="4"/>
        </w:numPr>
        <w:rPr>
          <w:rFonts w:ascii="Arial" w:hAnsi="Arial" w:cs="Arial"/>
          <w:b/>
          <w:bCs/>
          <w:sz w:val="24"/>
          <w:szCs w:val="24"/>
          <w:u w:val="single"/>
        </w:rPr>
      </w:pPr>
      <w:r>
        <w:rPr>
          <w:rFonts w:ascii="Arial" w:hAnsi="Arial" w:cs="Arial"/>
          <w:sz w:val="24"/>
          <w:szCs w:val="24"/>
        </w:rPr>
        <w:t xml:space="preserve">     </w:t>
      </w:r>
      <w:r w:rsidRPr="004B0225">
        <w:rPr>
          <w:rFonts w:ascii="Arial" w:hAnsi="Arial" w:cs="Arial"/>
          <w:b/>
          <w:bCs/>
          <w:sz w:val="24"/>
          <w:szCs w:val="24"/>
          <w:u w:val="single"/>
        </w:rPr>
        <w:t>Workforce Analysis</w:t>
      </w:r>
    </w:p>
    <w:p w14:paraId="14D1C176" w14:textId="6D3C966D" w:rsidR="00F7133E" w:rsidRDefault="004B0225" w:rsidP="00F7133E">
      <w:pPr>
        <w:rPr>
          <w:rFonts w:ascii="Arial" w:hAnsi="Arial" w:cs="Arial"/>
          <w:b/>
          <w:bCs/>
          <w:sz w:val="24"/>
          <w:szCs w:val="24"/>
        </w:rPr>
      </w:pPr>
      <w:r w:rsidRPr="00F7133E">
        <w:rPr>
          <w:rFonts w:ascii="Arial" w:hAnsi="Arial" w:cs="Arial"/>
          <w:b/>
          <w:bCs/>
          <w:sz w:val="24"/>
          <w:szCs w:val="24"/>
        </w:rPr>
        <w:t>For each department of the Authority</w:t>
      </w:r>
      <w:r w:rsidR="00F7133E">
        <w:rPr>
          <w:rFonts w:ascii="Arial" w:hAnsi="Arial" w:cs="Arial"/>
          <w:b/>
          <w:bCs/>
          <w:sz w:val="24"/>
          <w:szCs w:val="24"/>
        </w:rPr>
        <w:t xml:space="preserve"> a workforce analysis report on</w:t>
      </w:r>
      <w:r w:rsidR="00F7133E" w:rsidRPr="00F7133E">
        <w:rPr>
          <w:rFonts w:ascii="Arial" w:hAnsi="Arial" w:cs="Arial"/>
          <w:b/>
          <w:bCs/>
          <w:sz w:val="24"/>
          <w:szCs w:val="24"/>
        </w:rPr>
        <w:t xml:space="preserve"> the number of minorities, the number </w:t>
      </w:r>
      <w:r w:rsidR="00F7133E">
        <w:rPr>
          <w:rFonts w:ascii="Arial" w:hAnsi="Arial" w:cs="Arial"/>
          <w:b/>
          <w:bCs/>
          <w:sz w:val="24"/>
          <w:szCs w:val="24"/>
        </w:rPr>
        <w:t>o</w:t>
      </w:r>
      <w:r w:rsidR="00F7133E" w:rsidRPr="00F7133E">
        <w:rPr>
          <w:rFonts w:ascii="Arial" w:hAnsi="Arial" w:cs="Arial"/>
          <w:b/>
          <w:bCs/>
          <w:sz w:val="24"/>
          <w:szCs w:val="24"/>
        </w:rPr>
        <w:t>f women</w:t>
      </w:r>
      <w:r w:rsidR="00F7133E">
        <w:rPr>
          <w:rFonts w:ascii="Arial" w:hAnsi="Arial" w:cs="Arial"/>
          <w:b/>
          <w:bCs/>
          <w:sz w:val="24"/>
          <w:szCs w:val="24"/>
        </w:rPr>
        <w:t>, the number of persons with disabilities and the number of Veterans in each job category will be compiled at the end of each fiscal year.</w:t>
      </w:r>
    </w:p>
    <w:p w14:paraId="2C1DAF29" w14:textId="784D5533" w:rsidR="00F7133E" w:rsidRDefault="00F7133E" w:rsidP="00F7133E">
      <w:pPr>
        <w:pStyle w:val="ListParagraph"/>
        <w:numPr>
          <w:ilvl w:val="0"/>
          <w:numId w:val="11"/>
        </w:numPr>
        <w:rPr>
          <w:rFonts w:ascii="Arial" w:hAnsi="Arial" w:cs="Arial"/>
          <w:b/>
          <w:bCs/>
          <w:sz w:val="24"/>
          <w:szCs w:val="24"/>
        </w:rPr>
      </w:pPr>
      <w:r>
        <w:rPr>
          <w:rFonts w:ascii="Arial" w:hAnsi="Arial" w:cs="Arial"/>
          <w:b/>
          <w:bCs/>
          <w:sz w:val="24"/>
          <w:szCs w:val="24"/>
        </w:rPr>
        <w:t xml:space="preserve">The job categories are Maintenance/Service; Clerical; Managerial, Technical and Professional. </w:t>
      </w:r>
    </w:p>
    <w:p w14:paraId="3FAB1154" w14:textId="71F7023C" w:rsidR="00F7133E" w:rsidRPr="00F7133E" w:rsidRDefault="00F7133E" w:rsidP="00F7133E">
      <w:pPr>
        <w:pStyle w:val="ListParagraph"/>
        <w:numPr>
          <w:ilvl w:val="0"/>
          <w:numId w:val="11"/>
        </w:numPr>
        <w:rPr>
          <w:rFonts w:ascii="Arial" w:hAnsi="Arial" w:cs="Arial"/>
          <w:b/>
          <w:bCs/>
          <w:sz w:val="24"/>
          <w:szCs w:val="24"/>
        </w:rPr>
      </w:pPr>
      <w:r w:rsidRPr="00F7133E">
        <w:rPr>
          <w:rFonts w:ascii="Arial" w:hAnsi="Arial" w:cs="Arial"/>
          <w:b/>
          <w:bCs/>
          <w:sz w:val="24"/>
          <w:szCs w:val="24"/>
        </w:rPr>
        <w:t xml:space="preserve">It will also include the number of individuals hired in each job category during the previous year and the number of minorities, women, persons with disabilities and Veterans.  </w:t>
      </w:r>
      <w:r w:rsidR="004B0225" w:rsidRPr="00F7133E">
        <w:rPr>
          <w:rFonts w:ascii="Arial" w:hAnsi="Arial" w:cs="Arial"/>
          <w:b/>
          <w:bCs/>
          <w:sz w:val="24"/>
          <w:szCs w:val="24"/>
        </w:rPr>
        <w:t xml:space="preserve"> </w:t>
      </w:r>
    </w:p>
    <w:p w14:paraId="6F93A550" w14:textId="064FD500" w:rsidR="004B0225" w:rsidRDefault="00F7133E" w:rsidP="00F7133E">
      <w:pPr>
        <w:pStyle w:val="ListParagraph"/>
        <w:numPr>
          <w:ilvl w:val="0"/>
          <w:numId w:val="11"/>
        </w:numPr>
        <w:rPr>
          <w:rFonts w:ascii="Arial" w:hAnsi="Arial" w:cs="Arial"/>
          <w:b/>
          <w:bCs/>
          <w:sz w:val="24"/>
          <w:szCs w:val="24"/>
        </w:rPr>
      </w:pPr>
      <w:r w:rsidRPr="00F7133E">
        <w:rPr>
          <w:rFonts w:ascii="Arial" w:hAnsi="Arial" w:cs="Arial"/>
          <w:b/>
          <w:bCs/>
          <w:sz w:val="24"/>
          <w:szCs w:val="24"/>
        </w:rPr>
        <w:t>The report will provide a listing of recruitment sources used during the previous fiscal year</w:t>
      </w:r>
    </w:p>
    <w:p w14:paraId="3D815580" w14:textId="77777777" w:rsidR="00495264" w:rsidRPr="00495264" w:rsidRDefault="00495264" w:rsidP="00495264">
      <w:pPr>
        <w:rPr>
          <w:rFonts w:ascii="Arial" w:hAnsi="Arial" w:cs="Arial"/>
          <w:b/>
          <w:bCs/>
          <w:sz w:val="24"/>
          <w:szCs w:val="24"/>
        </w:rPr>
      </w:pPr>
    </w:p>
    <w:p w14:paraId="2A253F38" w14:textId="431824A9" w:rsidR="00F7133E" w:rsidRDefault="00495264" w:rsidP="00495264">
      <w:pPr>
        <w:pStyle w:val="ListParagraph"/>
        <w:numPr>
          <w:ilvl w:val="0"/>
          <w:numId w:val="4"/>
        </w:numPr>
        <w:rPr>
          <w:rFonts w:ascii="Arial" w:hAnsi="Arial" w:cs="Arial"/>
          <w:b/>
          <w:bCs/>
          <w:sz w:val="24"/>
          <w:szCs w:val="24"/>
        </w:rPr>
      </w:pPr>
      <w:r>
        <w:rPr>
          <w:rFonts w:ascii="Arial" w:hAnsi="Arial" w:cs="Arial"/>
          <w:b/>
          <w:bCs/>
          <w:sz w:val="24"/>
          <w:szCs w:val="24"/>
        </w:rPr>
        <w:t xml:space="preserve">     Reports to the Department. </w:t>
      </w:r>
    </w:p>
    <w:p w14:paraId="1902EFAF" w14:textId="4A16AC31" w:rsidR="007542E8" w:rsidRDefault="00E82ECD" w:rsidP="00495264">
      <w:pPr>
        <w:rPr>
          <w:rFonts w:ascii="Arial" w:hAnsi="Arial" w:cs="Arial"/>
          <w:b/>
          <w:bCs/>
          <w:sz w:val="24"/>
          <w:szCs w:val="24"/>
        </w:rPr>
      </w:pPr>
      <w:r>
        <w:rPr>
          <w:rFonts w:ascii="Arial" w:hAnsi="Arial" w:cs="Arial"/>
          <w:b/>
          <w:bCs/>
          <w:sz w:val="24"/>
          <w:szCs w:val="24"/>
        </w:rPr>
        <w:t xml:space="preserve">Upon request but no sooner than </w:t>
      </w:r>
      <w:r w:rsidR="00495264">
        <w:rPr>
          <w:rFonts w:ascii="Arial" w:hAnsi="Arial" w:cs="Arial"/>
          <w:b/>
          <w:bCs/>
          <w:sz w:val="24"/>
          <w:szCs w:val="24"/>
        </w:rPr>
        <w:t>90 days after the end of the Authority’s fiscal year a report will be supplied to the Department with its workforce analysis, its description of methods of publicizing job openings, and its statement of measures ensuring against discriminatory practices</w:t>
      </w:r>
      <w:r w:rsidR="007542E8">
        <w:rPr>
          <w:rFonts w:ascii="Arial" w:hAnsi="Arial" w:cs="Arial"/>
          <w:b/>
          <w:bCs/>
          <w:sz w:val="24"/>
          <w:szCs w:val="24"/>
        </w:rPr>
        <w:t>.</w:t>
      </w:r>
    </w:p>
    <w:p w14:paraId="5F83147C" w14:textId="77777777" w:rsidR="007542E8" w:rsidRDefault="007542E8" w:rsidP="00495264">
      <w:pPr>
        <w:rPr>
          <w:rFonts w:ascii="Arial" w:hAnsi="Arial" w:cs="Arial"/>
          <w:b/>
          <w:bCs/>
          <w:sz w:val="24"/>
          <w:szCs w:val="24"/>
        </w:rPr>
      </w:pPr>
    </w:p>
    <w:p w14:paraId="7EE84F71" w14:textId="20B1C945" w:rsidR="00495264" w:rsidRPr="00495264" w:rsidRDefault="00495264" w:rsidP="00495264">
      <w:pPr>
        <w:rPr>
          <w:rFonts w:ascii="Arial" w:hAnsi="Arial" w:cs="Arial"/>
          <w:b/>
          <w:bCs/>
          <w:sz w:val="24"/>
          <w:szCs w:val="24"/>
        </w:rPr>
      </w:pPr>
      <w:r>
        <w:rPr>
          <w:rFonts w:ascii="Arial" w:hAnsi="Arial" w:cs="Arial"/>
          <w:b/>
          <w:bCs/>
          <w:sz w:val="24"/>
          <w:szCs w:val="24"/>
        </w:rPr>
        <w:lastRenderedPageBreak/>
        <w:t xml:space="preserve"> </w:t>
      </w:r>
    </w:p>
    <w:p w14:paraId="3F62DB62" w14:textId="77777777" w:rsidR="00040FED" w:rsidRPr="00A53CED" w:rsidRDefault="00040FED" w:rsidP="00040FED">
      <w:pPr>
        <w:rPr>
          <w:rFonts w:ascii="Arial" w:hAnsi="Arial" w:cs="Arial"/>
          <w:sz w:val="24"/>
          <w:szCs w:val="24"/>
        </w:rPr>
      </w:pPr>
    </w:p>
    <w:p w14:paraId="1367E837" w14:textId="0B47AA43" w:rsidR="00040FED" w:rsidRPr="00A53CED" w:rsidRDefault="00040FED" w:rsidP="00040FED">
      <w:pPr>
        <w:pStyle w:val="ListParagraph"/>
        <w:numPr>
          <w:ilvl w:val="0"/>
          <w:numId w:val="4"/>
        </w:numPr>
        <w:rPr>
          <w:rFonts w:ascii="Arial" w:hAnsi="Arial" w:cs="Arial"/>
          <w:sz w:val="24"/>
          <w:szCs w:val="24"/>
          <w:u w:val="single"/>
        </w:rPr>
      </w:pPr>
      <w:r w:rsidRPr="00A53CED">
        <w:rPr>
          <w:rFonts w:ascii="Arial" w:hAnsi="Arial" w:cs="Arial"/>
          <w:sz w:val="24"/>
          <w:szCs w:val="24"/>
          <w:u w:val="single"/>
        </w:rPr>
        <w:t xml:space="preserve"> Compensation </w:t>
      </w:r>
    </w:p>
    <w:p w14:paraId="0B96136F" w14:textId="06EA6FF2" w:rsidR="00040FED" w:rsidRPr="00A53CED" w:rsidRDefault="00040FED" w:rsidP="00040FED">
      <w:pPr>
        <w:pStyle w:val="ListParagraph"/>
        <w:numPr>
          <w:ilvl w:val="0"/>
          <w:numId w:val="6"/>
        </w:numPr>
        <w:rPr>
          <w:rFonts w:ascii="Arial" w:hAnsi="Arial" w:cs="Arial"/>
          <w:sz w:val="24"/>
          <w:szCs w:val="24"/>
        </w:rPr>
      </w:pPr>
      <w:r w:rsidRPr="00A53CED">
        <w:rPr>
          <w:rFonts w:ascii="Arial" w:hAnsi="Arial" w:cs="Arial"/>
          <w:sz w:val="24"/>
          <w:szCs w:val="24"/>
        </w:rPr>
        <w:t xml:space="preserve">All employees compensated appropriately according to the Personnel Polices without regard to race, creed, color, gender, </w:t>
      </w:r>
      <w:r w:rsidR="00C84BDE" w:rsidRPr="004B0225">
        <w:rPr>
          <w:rFonts w:ascii="Arial" w:hAnsi="Arial" w:cs="Arial"/>
          <w:sz w:val="24"/>
          <w:szCs w:val="24"/>
        </w:rPr>
        <w:t>gender identification</w:t>
      </w:r>
      <w:r w:rsidR="00C84BDE">
        <w:rPr>
          <w:rFonts w:ascii="Arial" w:hAnsi="Arial" w:cs="Arial"/>
          <w:sz w:val="24"/>
          <w:szCs w:val="24"/>
        </w:rPr>
        <w:t xml:space="preserve">, </w:t>
      </w:r>
      <w:r w:rsidRPr="00A53CED">
        <w:rPr>
          <w:rFonts w:ascii="Arial" w:hAnsi="Arial" w:cs="Arial"/>
          <w:sz w:val="24"/>
          <w:szCs w:val="24"/>
        </w:rPr>
        <w:t xml:space="preserve">sexual orientation, handicap, or national origin. </w:t>
      </w:r>
    </w:p>
    <w:p w14:paraId="18E1F846" w14:textId="77777777" w:rsidR="00040FED" w:rsidRPr="00A53CED" w:rsidRDefault="00040FED" w:rsidP="00040FED">
      <w:pPr>
        <w:rPr>
          <w:rFonts w:ascii="Arial" w:hAnsi="Arial" w:cs="Arial"/>
          <w:sz w:val="24"/>
          <w:szCs w:val="24"/>
        </w:rPr>
      </w:pPr>
    </w:p>
    <w:p w14:paraId="6A5A9C95" w14:textId="4C145779" w:rsidR="008F45F1" w:rsidRPr="00A53CED" w:rsidRDefault="00040FED" w:rsidP="00040FED">
      <w:pPr>
        <w:pStyle w:val="ListParagraph"/>
        <w:numPr>
          <w:ilvl w:val="0"/>
          <w:numId w:val="4"/>
        </w:numPr>
        <w:rPr>
          <w:rFonts w:ascii="Arial" w:hAnsi="Arial" w:cs="Arial"/>
          <w:sz w:val="24"/>
          <w:szCs w:val="24"/>
          <w:u w:val="single"/>
        </w:rPr>
      </w:pPr>
      <w:r w:rsidRPr="00A53CED">
        <w:rPr>
          <w:rFonts w:ascii="Arial" w:hAnsi="Arial" w:cs="Arial"/>
          <w:sz w:val="24"/>
          <w:szCs w:val="24"/>
        </w:rPr>
        <w:t xml:space="preserve">  </w:t>
      </w:r>
      <w:r w:rsidRPr="00A53CED">
        <w:rPr>
          <w:rFonts w:ascii="Arial" w:hAnsi="Arial" w:cs="Arial"/>
          <w:sz w:val="24"/>
          <w:szCs w:val="24"/>
          <w:u w:val="single"/>
        </w:rPr>
        <w:t xml:space="preserve">Benefits </w:t>
      </w:r>
    </w:p>
    <w:p w14:paraId="436C9945" w14:textId="65787B6E" w:rsidR="008F45F1" w:rsidRPr="00A53CED" w:rsidRDefault="008F45F1" w:rsidP="008F45F1">
      <w:pPr>
        <w:pStyle w:val="ListParagraph"/>
        <w:numPr>
          <w:ilvl w:val="0"/>
          <w:numId w:val="7"/>
        </w:numPr>
        <w:rPr>
          <w:rFonts w:ascii="Arial" w:hAnsi="Arial" w:cs="Arial"/>
          <w:sz w:val="24"/>
          <w:szCs w:val="24"/>
        </w:rPr>
      </w:pPr>
      <w:r w:rsidRPr="00A53CED">
        <w:rPr>
          <w:rFonts w:ascii="Arial" w:hAnsi="Arial" w:cs="Arial"/>
          <w:sz w:val="24"/>
          <w:szCs w:val="24"/>
        </w:rPr>
        <w:t xml:space="preserve">All employees are granted benefits appropriately according to the Personnel Policies without regard to race, creed, color, gender, </w:t>
      </w:r>
      <w:r w:rsidR="00C84BDE" w:rsidRPr="004B0225">
        <w:rPr>
          <w:rFonts w:ascii="Arial" w:hAnsi="Arial" w:cs="Arial"/>
          <w:sz w:val="24"/>
          <w:szCs w:val="24"/>
        </w:rPr>
        <w:t xml:space="preserve">gender identification, </w:t>
      </w:r>
      <w:r w:rsidRPr="00A53CED">
        <w:rPr>
          <w:rFonts w:ascii="Arial" w:hAnsi="Arial" w:cs="Arial"/>
          <w:sz w:val="24"/>
          <w:szCs w:val="24"/>
        </w:rPr>
        <w:t xml:space="preserve">sexual orientation, handicap or national origin. </w:t>
      </w:r>
    </w:p>
    <w:p w14:paraId="41FDF3FC" w14:textId="77777777" w:rsidR="008F45F1" w:rsidRPr="00A53CED" w:rsidRDefault="008F45F1" w:rsidP="008F45F1">
      <w:pPr>
        <w:pStyle w:val="ListParagraph"/>
        <w:numPr>
          <w:ilvl w:val="0"/>
          <w:numId w:val="7"/>
        </w:numPr>
        <w:rPr>
          <w:rFonts w:ascii="Arial" w:hAnsi="Arial" w:cs="Arial"/>
          <w:sz w:val="24"/>
          <w:szCs w:val="24"/>
        </w:rPr>
      </w:pPr>
      <w:r w:rsidRPr="00A53CED">
        <w:rPr>
          <w:rFonts w:ascii="Arial" w:hAnsi="Arial" w:cs="Arial"/>
          <w:sz w:val="24"/>
          <w:szCs w:val="24"/>
        </w:rPr>
        <w:t>Employees may use Personal Leave to celebrate special religious or ethnic/cultural observances.</w:t>
      </w:r>
    </w:p>
    <w:p w14:paraId="55FFA2CB" w14:textId="77137F0C" w:rsidR="008F45F1" w:rsidRPr="00A53CED" w:rsidRDefault="008F45F1" w:rsidP="008F45F1">
      <w:pPr>
        <w:rPr>
          <w:rFonts w:ascii="Arial" w:hAnsi="Arial" w:cs="Arial"/>
          <w:sz w:val="24"/>
          <w:szCs w:val="24"/>
        </w:rPr>
      </w:pPr>
      <w:r w:rsidRPr="00A53CED">
        <w:rPr>
          <w:rFonts w:ascii="Arial" w:hAnsi="Arial" w:cs="Arial"/>
          <w:sz w:val="24"/>
          <w:szCs w:val="24"/>
        </w:rPr>
        <w:t xml:space="preserve"> </w:t>
      </w:r>
    </w:p>
    <w:p w14:paraId="4A77B56A" w14:textId="14A93C50" w:rsidR="008F45F1" w:rsidRPr="00A53CED" w:rsidRDefault="008F45F1" w:rsidP="008F45F1">
      <w:pPr>
        <w:pStyle w:val="ListParagraph"/>
        <w:numPr>
          <w:ilvl w:val="0"/>
          <w:numId w:val="4"/>
        </w:numPr>
        <w:rPr>
          <w:rFonts w:ascii="Arial" w:hAnsi="Arial" w:cs="Arial"/>
          <w:sz w:val="24"/>
          <w:szCs w:val="24"/>
        </w:rPr>
      </w:pPr>
      <w:r w:rsidRPr="00A53CED">
        <w:rPr>
          <w:rFonts w:ascii="Arial" w:hAnsi="Arial" w:cs="Arial"/>
          <w:sz w:val="24"/>
          <w:szCs w:val="24"/>
        </w:rPr>
        <w:t xml:space="preserve">Tenant Selection </w:t>
      </w:r>
    </w:p>
    <w:p w14:paraId="0CC8C77B" w14:textId="345F3849" w:rsidR="008F45F1" w:rsidRPr="004B0225" w:rsidRDefault="008F45F1" w:rsidP="008F45F1">
      <w:pPr>
        <w:pStyle w:val="ListParagraph"/>
        <w:numPr>
          <w:ilvl w:val="0"/>
          <w:numId w:val="8"/>
        </w:numPr>
        <w:rPr>
          <w:rFonts w:ascii="Arial" w:hAnsi="Arial" w:cs="Arial"/>
          <w:sz w:val="24"/>
          <w:szCs w:val="24"/>
        </w:rPr>
      </w:pPr>
      <w:r w:rsidRPr="00A53CED">
        <w:rPr>
          <w:rFonts w:ascii="Arial" w:hAnsi="Arial" w:cs="Arial"/>
          <w:sz w:val="24"/>
          <w:szCs w:val="24"/>
        </w:rPr>
        <w:t xml:space="preserve">When and if a decline in the waiting list necessitates marketing strategies all such efforts reflect the equal opportunity and affirmative action plan. </w:t>
      </w:r>
      <w:r w:rsidRPr="004B0225">
        <w:rPr>
          <w:rFonts w:ascii="Arial" w:hAnsi="Arial" w:cs="Arial"/>
          <w:sz w:val="24"/>
          <w:szCs w:val="24"/>
        </w:rPr>
        <w:t>All advertisements carry the phrase, “Equal Housing Opportunity” and are published in the Berkshire Eagle</w:t>
      </w:r>
      <w:r w:rsidR="00A53CED" w:rsidRPr="004B0225">
        <w:rPr>
          <w:rFonts w:ascii="Arial" w:hAnsi="Arial" w:cs="Arial"/>
          <w:sz w:val="24"/>
          <w:szCs w:val="24"/>
        </w:rPr>
        <w:t xml:space="preserve"> </w:t>
      </w:r>
      <w:r w:rsidR="000910E7" w:rsidRPr="004B0225">
        <w:rPr>
          <w:rFonts w:ascii="Arial" w:hAnsi="Arial" w:cs="Arial"/>
          <w:sz w:val="24"/>
          <w:szCs w:val="24"/>
        </w:rPr>
        <w:t xml:space="preserve">or other papers that serve the county’s metropolitan area. </w:t>
      </w:r>
    </w:p>
    <w:p w14:paraId="3B7B7EDD" w14:textId="2414E3C3" w:rsidR="008F45F1" w:rsidRPr="00A53CED" w:rsidRDefault="008F45F1" w:rsidP="008F45F1">
      <w:pPr>
        <w:pStyle w:val="ListParagraph"/>
        <w:numPr>
          <w:ilvl w:val="0"/>
          <w:numId w:val="8"/>
        </w:numPr>
        <w:rPr>
          <w:rFonts w:ascii="Arial" w:hAnsi="Arial" w:cs="Arial"/>
          <w:sz w:val="24"/>
          <w:szCs w:val="24"/>
        </w:rPr>
      </w:pPr>
      <w:r w:rsidRPr="00A53CED">
        <w:rPr>
          <w:rFonts w:ascii="Arial" w:hAnsi="Arial" w:cs="Arial"/>
          <w:sz w:val="24"/>
          <w:szCs w:val="24"/>
        </w:rPr>
        <w:t xml:space="preserve">In order to maintain equality of opportunity, rigorous attention is given to the Eligibility and Selection Criteria, as defined in 760 CMR 5.00. When and if the percentage of units occupied by disabled persons falls below 13.5%, or seven (7) units, then one eligible and qualified disabled household is placed for each eligible and qualified elderly household placed, until such time that the number of handicapped households equals seven.    </w:t>
      </w:r>
    </w:p>
    <w:p w14:paraId="382B9354" w14:textId="2E609441" w:rsidR="008F45F1" w:rsidRPr="00A53CED" w:rsidRDefault="008F45F1" w:rsidP="008F45F1">
      <w:pPr>
        <w:pStyle w:val="ListParagraph"/>
        <w:numPr>
          <w:ilvl w:val="0"/>
          <w:numId w:val="8"/>
        </w:numPr>
        <w:rPr>
          <w:rFonts w:ascii="Arial" w:hAnsi="Arial" w:cs="Arial"/>
          <w:sz w:val="24"/>
          <w:szCs w:val="24"/>
        </w:rPr>
      </w:pPr>
      <w:r w:rsidRPr="00A53CED">
        <w:rPr>
          <w:rFonts w:ascii="Arial" w:hAnsi="Arial" w:cs="Arial"/>
          <w:sz w:val="24"/>
          <w:szCs w:val="24"/>
        </w:rPr>
        <w:t xml:space="preserve">In order to maintain affirmative action and equality of opportunity, the Authority establishes a goal of </w:t>
      </w:r>
      <w:r w:rsidR="00875729" w:rsidRPr="004B0225">
        <w:rPr>
          <w:rFonts w:ascii="Arial" w:hAnsi="Arial" w:cs="Arial"/>
          <w:sz w:val="24"/>
          <w:szCs w:val="24"/>
        </w:rPr>
        <w:t>4.0</w:t>
      </w:r>
      <w:r w:rsidRPr="004B0225">
        <w:rPr>
          <w:rFonts w:ascii="Arial" w:hAnsi="Arial" w:cs="Arial"/>
          <w:sz w:val="24"/>
          <w:szCs w:val="24"/>
        </w:rPr>
        <w:t>% (as consistent with the newly released guidance PHN 2021-05 and data received from the 2014-2019 American Community Survey US Census Bureau</w:t>
      </w:r>
      <w:r w:rsidRPr="00244DCC">
        <w:rPr>
          <w:rFonts w:ascii="Arial" w:hAnsi="Arial" w:cs="Arial"/>
          <w:b/>
          <w:bCs/>
          <w:sz w:val="24"/>
          <w:szCs w:val="24"/>
          <w:u w:val="single"/>
        </w:rPr>
        <w:t>)</w:t>
      </w:r>
      <w:r w:rsidRPr="00A53CED">
        <w:rPr>
          <w:rFonts w:ascii="Arial" w:hAnsi="Arial" w:cs="Arial"/>
          <w:sz w:val="24"/>
          <w:szCs w:val="24"/>
        </w:rPr>
        <w:t xml:space="preserve"> OR at </w:t>
      </w:r>
      <w:r w:rsidR="00A53CED" w:rsidRPr="00A53CED">
        <w:rPr>
          <w:rFonts w:ascii="Arial" w:hAnsi="Arial" w:cs="Arial"/>
          <w:sz w:val="24"/>
          <w:szCs w:val="24"/>
        </w:rPr>
        <w:t>least</w:t>
      </w:r>
      <w:r w:rsidRPr="00A53CED">
        <w:rPr>
          <w:rFonts w:ascii="Arial" w:hAnsi="Arial" w:cs="Arial"/>
          <w:sz w:val="24"/>
          <w:szCs w:val="24"/>
        </w:rPr>
        <w:t xml:space="preserve"> one (1) unit for a member of a minority. The affirmative action preference precedes all other preferences until such time that the goal is achieved. The affirmative action preference does not limit the placement of a minority household which would otherwise be due to the next unit offer. </w:t>
      </w:r>
    </w:p>
    <w:p w14:paraId="4664E026" w14:textId="04108005" w:rsidR="008F45F1" w:rsidRPr="00A53CED" w:rsidRDefault="008F45F1" w:rsidP="008F45F1">
      <w:pPr>
        <w:rPr>
          <w:rFonts w:ascii="Arial" w:hAnsi="Arial" w:cs="Arial"/>
          <w:sz w:val="24"/>
          <w:szCs w:val="24"/>
        </w:rPr>
      </w:pPr>
      <w:r w:rsidRPr="00A53CED">
        <w:rPr>
          <w:rFonts w:ascii="Arial" w:hAnsi="Arial" w:cs="Arial"/>
          <w:sz w:val="24"/>
          <w:szCs w:val="24"/>
        </w:rPr>
        <w:t xml:space="preserve">  </w:t>
      </w:r>
    </w:p>
    <w:p w14:paraId="080BEE6D" w14:textId="0896A495" w:rsidR="008F45F1" w:rsidRPr="00A53CED" w:rsidRDefault="008F45F1" w:rsidP="008F45F1">
      <w:pPr>
        <w:pStyle w:val="ListParagraph"/>
        <w:numPr>
          <w:ilvl w:val="0"/>
          <w:numId w:val="4"/>
        </w:numPr>
        <w:rPr>
          <w:rFonts w:ascii="Arial" w:hAnsi="Arial" w:cs="Arial"/>
          <w:sz w:val="24"/>
          <w:szCs w:val="24"/>
          <w:u w:val="single"/>
        </w:rPr>
      </w:pPr>
      <w:r w:rsidRPr="00A53CED">
        <w:rPr>
          <w:rFonts w:ascii="Arial" w:hAnsi="Arial" w:cs="Arial"/>
          <w:sz w:val="24"/>
          <w:szCs w:val="24"/>
          <w:u w:val="single"/>
        </w:rPr>
        <w:t>Unit Assignment</w:t>
      </w:r>
    </w:p>
    <w:p w14:paraId="1634A712" w14:textId="45629313" w:rsidR="00A53CED" w:rsidRDefault="00A53CED" w:rsidP="00A53CED">
      <w:pPr>
        <w:pStyle w:val="ListParagraph"/>
        <w:numPr>
          <w:ilvl w:val="0"/>
          <w:numId w:val="9"/>
        </w:numPr>
        <w:rPr>
          <w:rFonts w:ascii="Arial" w:hAnsi="Arial" w:cs="Arial"/>
          <w:sz w:val="24"/>
          <w:szCs w:val="24"/>
        </w:rPr>
      </w:pPr>
      <w:r w:rsidRPr="00A53CED">
        <w:rPr>
          <w:rFonts w:ascii="Arial" w:hAnsi="Arial" w:cs="Arial"/>
          <w:sz w:val="24"/>
          <w:szCs w:val="24"/>
        </w:rPr>
        <w:t>Units are assigned as they become available, without regard to race, creed, color, gender,</w:t>
      </w:r>
      <w:r w:rsidR="00C84BDE">
        <w:rPr>
          <w:rFonts w:ascii="Arial" w:hAnsi="Arial" w:cs="Arial"/>
          <w:sz w:val="24"/>
          <w:szCs w:val="24"/>
        </w:rPr>
        <w:t xml:space="preserve"> </w:t>
      </w:r>
      <w:r w:rsidR="00C84BDE" w:rsidRPr="004B0225">
        <w:rPr>
          <w:rFonts w:ascii="Arial" w:hAnsi="Arial" w:cs="Arial"/>
          <w:sz w:val="24"/>
          <w:szCs w:val="24"/>
          <w:u w:val="single"/>
        </w:rPr>
        <w:t>gender identification</w:t>
      </w:r>
      <w:r w:rsidR="00C84BDE">
        <w:rPr>
          <w:rFonts w:ascii="Arial" w:hAnsi="Arial" w:cs="Arial"/>
          <w:sz w:val="24"/>
          <w:szCs w:val="24"/>
        </w:rPr>
        <w:t>,</w:t>
      </w:r>
      <w:r w:rsidRPr="00A53CED">
        <w:rPr>
          <w:rFonts w:ascii="Arial" w:hAnsi="Arial" w:cs="Arial"/>
          <w:sz w:val="24"/>
          <w:szCs w:val="24"/>
        </w:rPr>
        <w:t xml:space="preserve"> sexual orientation, handicap, age or national origin.  </w:t>
      </w:r>
    </w:p>
    <w:p w14:paraId="5411ACCB" w14:textId="77777777" w:rsidR="007542E8" w:rsidRPr="007542E8" w:rsidRDefault="007542E8" w:rsidP="007542E8">
      <w:pPr>
        <w:rPr>
          <w:rFonts w:ascii="Arial" w:hAnsi="Arial" w:cs="Arial"/>
          <w:sz w:val="24"/>
          <w:szCs w:val="24"/>
        </w:rPr>
      </w:pPr>
    </w:p>
    <w:p w14:paraId="156BB873" w14:textId="77777777" w:rsidR="00A53CED" w:rsidRPr="00A53CED" w:rsidRDefault="00A53CED" w:rsidP="00A53CED">
      <w:pPr>
        <w:rPr>
          <w:rFonts w:ascii="Arial" w:hAnsi="Arial" w:cs="Arial"/>
          <w:sz w:val="24"/>
          <w:szCs w:val="24"/>
        </w:rPr>
      </w:pPr>
    </w:p>
    <w:p w14:paraId="3E826BCB" w14:textId="3F08960B" w:rsidR="00A53CED" w:rsidRPr="00A53CED" w:rsidRDefault="00A53CED" w:rsidP="00A53CED">
      <w:pPr>
        <w:pStyle w:val="ListParagraph"/>
        <w:numPr>
          <w:ilvl w:val="0"/>
          <w:numId w:val="4"/>
        </w:numPr>
        <w:rPr>
          <w:rFonts w:ascii="Arial" w:hAnsi="Arial" w:cs="Arial"/>
          <w:sz w:val="24"/>
          <w:szCs w:val="24"/>
          <w:u w:val="single"/>
        </w:rPr>
      </w:pPr>
      <w:r w:rsidRPr="00A53CED">
        <w:rPr>
          <w:rFonts w:ascii="Arial" w:hAnsi="Arial" w:cs="Arial"/>
          <w:sz w:val="24"/>
          <w:szCs w:val="24"/>
          <w:u w:val="single"/>
        </w:rPr>
        <w:t xml:space="preserve">Occupancy Standards </w:t>
      </w:r>
    </w:p>
    <w:p w14:paraId="202A96DA" w14:textId="77777777" w:rsidR="005E33DB" w:rsidRDefault="00A53CED" w:rsidP="00A53CED">
      <w:pPr>
        <w:pStyle w:val="ListParagraph"/>
        <w:numPr>
          <w:ilvl w:val="0"/>
          <w:numId w:val="10"/>
        </w:numPr>
        <w:rPr>
          <w:rFonts w:ascii="Arial" w:hAnsi="Arial" w:cs="Arial"/>
          <w:sz w:val="24"/>
          <w:szCs w:val="24"/>
        </w:rPr>
      </w:pPr>
      <w:r w:rsidRPr="00A53CED">
        <w:rPr>
          <w:rFonts w:ascii="Arial" w:hAnsi="Arial" w:cs="Arial"/>
          <w:sz w:val="24"/>
          <w:szCs w:val="24"/>
        </w:rPr>
        <w:t xml:space="preserve">All occupancy standards in accordance with 760 CMR 6.00 are applied equally to all, without regard to race, creed, color, gender, </w:t>
      </w:r>
      <w:r w:rsidR="00C84BDE" w:rsidRPr="004B0225">
        <w:rPr>
          <w:rFonts w:ascii="Arial" w:hAnsi="Arial" w:cs="Arial"/>
          <w:sz w:val="24"/>
          <w:szCs w:val="24"/>
        </w:rPr>
        <w:t>gender identification</w:t>
      </w:r>
      <w:r w:rsidR="00C84BDE">
        <w:rPr>
          <w:rFonts w:ascii="Arial" w:hAnsi="Arial" w:cs="Arial"/>
          <w:sz w:val="24"/>
          <w:szCs w:val="24"/>
        </w:rPr>
        <w:t xml:space="preserve">, </w:t>
      </w:r>
      <w:r w:rsidRPr="00A53CED">
        <w:rPr>
          <w:rFonts w:ascii="Arial" w:hAnsi="Arial" w:cs="Arial"/>
          <w:sz w:val="24"/>
          <w:szCs w:val="24"/>
        </w:rPr>
        <w:t xml:space="preserve">sexual orientation, handicap, age or national origin.   </w:t>
      </w:r>
    </w:p>
    <w:p w14:paraId="4770F571" w14:textId="53092057" w:rsidR="00A53CED" w:rsidRPr="005E33DB" w:rsidRDefault="00A53CED" w:rsidP="005E33DB">
      <w:pPr>
        <w:rPr>
          <w:rFonts w:ascii="Arial" w:hAnsi="Arial" w:cs="Arial"/>
          <w:sz w:val="24"/>
          <w:szCs w:val="24"/>
        </w:rPr>
      </w:pPr>
      <w:r w:rsidRPr="005E33DB">
        <w:rPr>
          <w:rFonts w:ascii="Arial" w:hAnsi="Arial" w:cs="Arial"/>
          <w:sz w:val="24"/>
          <w:szCs w:val="24"/>
        </w:rPr>
        <w:t xml:space="preserve"> </w:t>
      </w:r>
    </w:p>
    <w:p w14:paraId="182C1B2B" w14:textId="624A9D83" w:rsidR="00FD5605" w:rsidRPr="00A53CED" w:rsidRDefault="00FD5605" w:rsidP="008F45F1">
      <w:pPr>
        <w:ind w:left="1440"/>
        <w:rPr>
          <w:rFonts w:ascii="Arial" w:hAnsi="Arial" w:cs="Arial"/>
          <w:b/>
          <w:bCs/>
          <w:sz w:val="24"/>
          <w:szCs w:val="24"/>
        </w:rPr>
      </w:pPr>
    </w:p>
    <w:p w14:paraId="6389852D" w14:textId="16E10651" w:rsidR="008F45F1" w:rsidRDefault="005E33DB" w:rsidP="008F45F1">
      <w:pPr>
        <w:ind w:left="1440"/>
        <w:rPr>
          <w:rFonts w:ascii="Arial" w:hAnsi="Arial" w:cs="Arial"/>
          <w:b/>
          <w:bCs/>
          <w:sz w:val="32"/>
          <w:szCs w:val="32"/>
        </w:rPr>
      </w:pPr>
      <w:r>
        <w:rPr>
          <w:rFonts w:ascii="Arial" w:hAnsi="Arial" w:cs="Arial"/>
          <w:b/>
          <w:bCs/>
          <w:sz w:val="32"/>
          <w:szCs w:val="32"/>
        </w:rPr>
        <w:t xml:space="preserve">Adopted by the Board of Commissioners July 6, 2021.  </w:t>
      </w:r>
    </w:p>
    <w:p w14:paraId="51BC0B0B" w14:textId="4A2440A1" w:rsidR="005D0E80" w:rsidRDefault="005D0E80" w:rsidP="008F45F1">
      <w:pPr>
        <w:ind w:left="1440"/>
        <w:rPr>
          <w:rFonts w:ascii="Arial" w:hAnsi="Arial" w:cs="Arial"/>
          <w:b/>
          <w:bCs/>
          <w:sz w:val="32"/>
          <w:szCs w:val="32"/>
        </w:rPr>
      </w:pPr>
      <w:r>
        <w:rPr>
          <w:rFonts w:ascii="Arial" w:hAnsi="Arial" w:cs="Arial"/>
          <w:b/>
          <w:bCs/>
          <w:sz w:val="32"/>
          <w:szCs w:val="32"/>
        </w:rPr>
        <w:t xml:space="preserve">Renamed by the BOC January 11, 2022. </w:t>
      </w:r>
    </w:p>
    <w:p w14:paraId="6BD0311C" w14:textId="079CBEB9" w:rsidR="00875729" w:rsidRDefault="00875729" w:rsidP="008F45F1">
      <w:pPr>
        <w:ind w:left="1440"/>
        <w:rPr>
          <w:rFonts w:ascii="Arial" w:hAnsi="Arial" w:cs="Arial"/>
          <w:b/>
          <w:bCs/>
          <w:sz w:val="32"/>
          <w:szCs w:val="32"/>
        </w:rPr>
      </w:pPr>
      <w:r>
        <w:rPr>
          <w:rFonts w:ascii="Arial" w:hAnsi="Arial" w:cs="Arial"/>
          <w:b/>
          <w:bCs/>
          <w:sz w:val="32"/>
          <w:szCs w:val="32"/>
        </w:rPr>
        <w:t>Section D.3 % Corrected BOC August 11, 2022</w:t>
      </w:r>
    </w:p>
    <w:p w14:paraId="21F4A2C8" w14:textId="1CC52F8F" w:rsidR="001B74D5" w:rsidRPr="00FD5605" w:rsidRDefault="001B74D5" w:rsidP="008F45F1">
      <w:pPr>
        <w:ind w:left="1440"/>
        <w:rPr>
          <w:rFonts w:ascii="Arial" w:hAnsi="Arial" w:cs="Arial"/>
          <w:b/>
          <w:bCs/>
          <w:sz w:val="32"/>
          <w:szCs w:val="32"/>
        </w:rPr>
      </w:pPr>
      <w:r>
        <w:rPr>
          <w:rFonts w:ascii="Arial" w:hAnsi="Arial" w:cs="Arial"/>
          <w:b/>
          <w:bCs/>
          <w:sz w:val="32"/>
          <w:szCs w:val="32"/>
        </w:rPr>
        <w:t xml:space="preserve">Revised and adopted by the BOC February 6, 2024 to update implantation guidelines and addition of workforce analysis. </w:t>
      </w:r>
    </w:p>
    <w:sectPr w:rsidR="001B74D5" w:rsidRPr="00FD5605" w:rsidSect="005D4AFB">
      <w:pgSz w:w="12240" w:h="15840" w:code="1"/>
      <w:pgMar w:top="1728" w:right="1440" w:bottom="864" w:left="1440" w:header="720"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ACF"/>
    <w:multiLevelType w:val="hybridMultilevel"/>
    <w:tmpl w:val="3368840E"/>
    <w:lvl w:ilvl="0" w:tplc="1FF08086">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0C5B3F8E"/>
    <w:multiLevelType w:val="hybridMultilevel"/>
    <w:tmpl w:val="97EE06EE"/>
    <w:lvl w:ilvl="0" w:tplc="A1049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A0CF9"/>
    <w:multiLevelType w:val="hybridMultilevel"/>
    <w:tmpl w:val="1EC23A08"/>
    <w:lvl w:ilvl="0" w:tplc="827C3A1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 w15:restartNumberingAfterBreak="0">
    <w:nsid w:val="1F996296"/>
    <w:multiLevelType w:val="hybridMultilevel"/>
    <w:tmpl w:val="8C5660B2"/>
    <w:lvl w:ilvl="0" w:tplc="033EBECE">
      <w:start w:val="1"/>
      <w:numFmt w:val="upperRoman"/>
      <w:lvlText w:val="%1."/>
      <w:lvlJc w:val="left"/>
      <w:pPr>
        <w:ind w:left="1080" w:hanging="72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A02C0"/>
    <w:multiLevelType w:val="hybridMultilevel"/>
    <w:tmpl w:val="8A64A4AC"/>
    <w:lvl w:ilvl="0" w:tplc="FFBC80BE">
      <w:start w:val="1"/>
      <w:numFmt w:val="upperLetter"/>
      <w:lvlText w:val="%1."/>
      <w:lvlJc w:val="left"/>
      <w:pPr>
        <w:ind w:left="825" w:hanging="360"/>
      </w:pPr>
      <w:rPr>
        <w:rFonts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3EFB6179"/>
    <w:multiLevelType w:val="hybridMultilevel"/>
    <w:tmpl w:val="0434ABB0"/>
    <w:lvl w:ilvl="0" w:tplc="C804ECD4">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 w15:restartNumberingAfterBreak="0">
    <w:nsid w:val="3F6D7231"/>
    <w:multiLevelType w:val="hybridMultilevel"/>
    <w:tmpl w:val="005E8206"/>
    <w:lvl w:ilvl="0" w:tplc="D972864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15:restartNumberingAfterBreak="0">
    <w:nsid w:val="5EB172FA"/>
    <w:multiLevelType w:val="hybridMultilevel"/>
    <w:tmpl w:val="E582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C97CAD"/>
    <w:multiLevelType w:val="hybridMultilevel"/>
    <w:tmpl w:val="F1445556"/>
    <w:lvl w:ilvl="0" w:tplc="BF0E039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15:restartNumberingAfterBreak="0">
    <w:nsid w:val="6020770C"/>
    <w:multiLevelType w:val="hybridMultilevel"/>
    <w:tmpl w:val="0F348B2E"/>
    <w:lvl w:ilvl="0" w:tplc="5E1E2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9D333D"/>
    <w:multiLevelType w:val="hybridMultilevel"/>
    <w:tmpl w:val="B3D0E24E"/>
    <w:lvl w:ilvl="0" w:tplc="9DB23F8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16cid:durableId="1599487226">
    <w:abstractNumId w:val="3"/>
  </w:num>
  <w:num w:numId="2" w16cid:durableId="41488432">
    <w:abstractNumId w:val="7"/>
  </w:num>
  <w:num w:numId="3" w16cid:durableId="1210724370">
    <w:abstractNumId w:val="1"/>
  </w:num>
  <w:num w:numId="4" w16cid:durableId="1249078858">
    <w:abstractNumId w:val="4"/>
  </w:num>
  <w:num w:numId="5" w16cid:durableId="1857886079">
    <w:abstractNumId w:val="8"/>
  </w:num>
  <w:num w:numId="6" w16cid:durableId="828713902">
    <w:abstractNumId w:val="0"/>
  </w:num>
  <w:num w:numId="7" w16cid:durableId="24646508">
    <w:abstractNumId w:val="2"/>
  </w:num>
  <w:num w:numId="8" w16cid:durableId="474177347">
    <w:abstractNumId w:val="10"/>
  </w:num>
  <w:num w:numId="9" w16cid:durableId="477458744">
    <w:abstractNumId w:val="6"/>
  </w:num>
  <w:num w:numId="10" w16cid:durableId="1850411265">
    <w:abstractNumId w:val="5"/>
  </w:num>
  <w:num w:numId="11" w16cid:durableId="4089604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05"/>
    <w:rsid w:val="00040FED"/>
    <w:rsid w:val="000910E7"/>
    <w:rsid w:val="000C1C4D"/>
    <w:rsid w:val="00141570"/>
    <w:rsid w:val="00166F17"/>
    <w:rsid w:val="0017679F"/>
    <w:rsid w:val="001B74D5"/>
    <w:rsid w:val="00244DCC"/>
    <w:rsid w:val="002F10F6"/>
    <w:rsid w:val="00336654"/>
    <w:rsid w:val="00492FEA"/>
    <w:rsid w:val="00495264"/>
    <w:rsid w:val="004B0225"/>
    <w:rsid w:val="005D0E80"/>
    <w:rsid w:val="005D4AFB"/>
    <w:rsid w:val="005E33DB"/>
    <w:rsid w:val="00610A51"/>
    <w:rsid w:val="007542E8"/>
    <w:rsid w:val="00875729"/>
    <w:rsid w:val="008F45F1"/>
    <w:rsid w:val="00990531"/>
    <w:rsid w:val="00A53CED"/>
    <w:rsid w:val="00B22EF1"/>
    <w:rsid w:val="00C84BDE"/>
    <w:rsid w:val="00CC2D4A"/>
    <w:rsid w:val="00CF1779"/>
    <w:rsid w:val="00CF625E"/>
    <w:rsid w:val="00E82ECD"/>
    <w:rsid w:val="00F7133E"/>
    <w:rsid w:val="00FD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2D97"/>
  <w15:chartTrackingRefBased/>
  <w15:docId w15:val="{4DEA2893-004D-4FF9-B4EF-5357FA0A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2D4A"/>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FD5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Bruce Sicard</cp:lastModifiedBy>
  <cp:revision>4</cp:revision>
  <cp:lastPrinted>2024-01-23T17:38:00Z</cp:lastPrinted>
  <dcterms:created xsi:type="dcterms:W3CDTF">2024-01-23T17:57:00Z</dcterms:created>
  <dcterms:modified xsi:type="dcterms:W3CDTF">2024-01-31T01:34:00Z</dcterms:modified>
</cp:coreProperties>
</file>